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51" w:rsidRDefault="00281851" w:rsidP="00281851">
      <w:pPr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附件</w:t>
      </w:r>
      <w:r>
        <w:rPr>
          <w:rFonts w:ascii="黑体" w:eastAsia="黑体" w:hAnsi="宋体" w:hint="eastAsia"/>
          <w:color w:val="000000"/>
          <w:sz w:val="30"/>
          <w:szCs w:val="30"/>
        </w:rPr>
        <w:t xml:space="preserve">3 </w:t>
      </w:r>
    </w:p>
    <w:p w:rsidR="00281851" w:rsidRDefault="00281851" w:rsidP="00281851">
      <w:pPr>
        <w:jc w:val="center"/>
        <w:rPr>
          <w:rFonts w:ascii="方正小标宋简体" w:eastAsia="方正小标宋简体" w:hAnsi="华文中宋"/>
          <w:color w:val="000000"/>
          <w:sz w:val="15"/>
          <w:szCs w:val="15"/>
        </w:rPr>
      </w:pPr>
      <w:r>
        <w:rPr>
          <w:rFonts w:ascii="方正小标宋简体" w:eastAsia="方正小标宋简体" w:hAnsi="华文中宋" w:hint="eastAsia"/>
          <w:color w:val="000000"/>
          <w:sz w:val="40"/>
          <w:szCs w:val="40"/>
        </w:rPr>
        <w:t>武汉晴川学院家庭经济困难学生量化评分表</w:t>
      </w:r>
    </w:p>
    <w:p w:rsidR="00281851" w:rsidRDefault="00281851" w:rsidP="00281851">
      <w:pPr>
        <w:rPr>
          <w:rFonts w:ascii="方正小标宋简体" w:eastAsia="方正小标宋简体" w:hAnsi="华文中宋"/>
          <w:color w:val="000000"/>
          <w:sz w:val="15"/>
          <w:szCs w:val="15"/>
        </w:rPr>
      </w:pPr>
      <w:r>
        <w:rPr>
          <w:rFonts w:ascii="方正小标宋简体" w:eastAsia="方正小标宋简体" w:hAnsi="华文中宋" w:hint="eastAsia"/>
          <w:color w:val="000000"/>
          <w:sz w:val="15"/>
          <w:szCs w:val="15"/>
        </w:rPr>
        <w:t xml:space="preserve"> </w:t>
      </w:r>
    </w:p>
    <w:p w:rsidR="00281851" w:rsidRPr="00D33E9E" w:rsidRDefault="00281851" w:rsidP="00281851">
      <w:pPr>
        <w:rPr>
          <w:rFonts w:ascii="楷体" w:eastAsia="楷体" w:hAnsi="楷体"/>
          <w:color w:val="000000"/>
          <w:sz w:val="10"/>
          <w:szCs w:val="10"/>
        </w:rPr>
      </w:pPr>
      <w:r w:rsidRPr="00D33E9E">
        <w:rPr>
          <w:rFonts w:ascii="楷体" w:eastAsia="楷体" w:hAnsi="楷体"/>
          <w:color w:val="000000"/>
          <w:sz w:val="28"/>
          <w:szCs w:val="28"/>
        </w:rPr>
        <w:t>学院</w:t>
      </w:r>
      <w:r w:rsidR="00840487">
        <w:rPr>
          <w:rFonts w:ascii="楷体" w:eastAsia="楷体" w:hAnsi="楷体" w:hint="eastAsia"/>
          <w:color w:val="000000"/>
          <w:sz w:val="28"/>
          <w:szCs w:val="28"/>
        </w:rPr>
        <w:t xml:space="preserve">：             </w:t>
      </w:r>
      <w:r w:rsidRPr="00D33E9E">
        <w:rPr>
          <w:rFonts w:ascii="楷体" w:eastAsia="楷体" w:hAnsi="楷体"/>
          <w:color w:val="000000"/>
          <w:sz w:val="28"/>
          <w:szCs w:val="28"/>
        </w:rPr>
        <w:t>年级/</w:t>
      </w:r>
      <w:r w:rsidR="00840487">
        <w:rPr>
          <w:rFonts w:ascii="楷体" w:eastAsia="楷体" w:hAnsi="楷体" w:hint="eastAsia"/>
          <w:color w:val="000000"/>
          <w:sz w:val="28"/>
          <w:szCs w:val="28"/>
        </w:rPr>
        <w:t xml:space="preserve">班级：         学生姓名：        </w:t>
      </w:r>
      <w:bookmarkStart w:id="0" w:name="_GoBack"/>
      <w:bookmarkEnd w:id="0"/>
      <w:r w:rsidRPr="00D33E9E">
        <w:rPr>
          <w:rFonts w:ascii="楷体" w:eastAsia="楷体" w:hAnsi="楷体"/>
          <w:color w:val="000000"/>
          <w:sz w:val="28"/>
          <w:szCs w:val="28"/>
        </w:rPr>
        <w:t>辅导员</w:t>
      </w:r>
      <w:r w:rsidR="00840487">
        <w:rPr>
          <w:rFonts w:ascii="楷体" w:eastAsia="楷体" w:hAnsi="楷体" w:hint="eastAsia"/>
          <w:color w:val="000000"/>
          <w:sz w:val="28"/>
          <w:szCs w:val="28"/>
        </w:rPr>
        <w:t>签字：</w:t>
      </w:r>
    </w:p>
    <w:tbl>
      <w:tblPr>
        <w:tblStyle w:val="a3"/>
        <w:tblW w:w="10704" w:type="dxa"/>
        <w:tblLayout w:type="fixed"/>
        <w:tblLook w:val="04A0" w:firstRow="1" w:lastRow="0" w:firstColumn="1" w:lastColumn="0" w:noHBand="0" w:noVBand="1"/>
      </w:tblPr>
      <w:tblGrid>
        <w:gridCol w:w="898"/>
        <w:gridCol w:w="784"/>
        <w:gridCol w:w="879"/>
        <w:gridCol w:w="1270"/>
        <w:gridCol w:w="978"/>
        <w:gridCol w:w="1468"/>
        <w:gridCol w:w="1660"/>
        <w:gridCol w:w="781"/>
        <w:gridCol w:w="1986"/>
      </w:tblGrid>
      <w:tr w:rsidR="00281851" w:rsidTr="00281851">
        <w:trPr>
          <w:trHeight w:val="40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7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评  分  标  准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加减分说明</w:t>
            </w:r>
          </w:p>
        </w:tc>
      </w:tr>
      <w:tr w:rsidR="00281851" w:rsidTr="00281851">
        <w:trPr>
          <w:trHeight w:val="127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家庭经济困难程度40%</w:t>
            </w:r>
          </w:p>
        </w:tc>
        <w:tc>
          <w:tcPr>
            <w:tcW w:w="7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snapToGrid w:val="0"/>
              <w:spacing w:line="3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经信息核对为《武汉晴川学院家庭经济困难学生认定工作实施办法》第九条一至六类学生，得分为40分；其他家庭经济困难学生，依据家庭实际困难程度得分20-40分。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851" w:rsidRDefault="00281851">
            <w:pPr>
              <w:snapToGri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加分项目</w:t>
            </w:r>
            <w:r>
              <w:rPr>
                <w:rFonts w:ascii="宋体" w:hAnsi="宋体" w:hint="eastAsia"/>
                <w:sz w:val="18"/>
                <w:szCs w:val="18"/>
              </w:rPr>
              <w:t>：1、获得省级、院级荣誉：获得省及以上荣誉加5分，获得院级荣誉加2分；</w:t>
            </w:r>
          </w:p>
          <w:p w:rsidR="00281851" w:rsidRDefault="00281851">
            <w:pPr>
              <w:snapToGri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2、家庭遭遇突发性自然灾害或人为意外，如洪灾、旱灾、雪灾、地震和泥石流等导致颗粒无收、房屋受损、交通事故、疾病等重大致困事件（5分 ）；家庭遭遇局部地区自然灾害导致农作物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欠收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或家庭主要劳动力遭受失业、劳动力部分丧失等情况（3分）。</w:t>
            </w:r>
          </w:p>
          <w:p w:rsidR="00281851" w:rsidRDefault="00281851">
            <w:pPr>
              <w:spacing w:line="38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减分项目：</w:t>
            </w:r>
            <w:r>
              <w:rPr>
                <w:rFonts w:ascii="宋体" w:hAnsi="宋体" w:hint="eastAsia"/>
                <w:sz w:val="18"/>
                <w:szCs w:val="18"/>
              </w:rPr>
              <w:t>本学年已获得3000元以上项目无偿资助的，按实际情况减10-20分。</w:t>
            </w:r>
          </w:p>
        </w:tc>
      </w:tr>
      <w:tr w:rsidR="00281851" w:rsidTr="00281851">
        <w:trPr>
          <w:trHeight w:val="270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日常生活消费表现30%</w:t>
            </w:r>
          </w:p>
        </w:tc>
        <w:tc>
          <w:tcPr>
            <w:tcW w:w="7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snapToGrid w:val="0"/>
              <w:spacing w:line="3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1、个人支出主要用于基本生活费用，基本餐饮、服装15分；除基本生活费用外，只购买辅助必须学习用品的5分；</w:t>
            </w:r>
          </w:p>
          <w:p w:rsidR="00281851" w:rsidRDefault="00281851">
            <w:pPr>
              <w:snapToGrid w:val="0"/>
              <w:spacing w:line="3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2、无任何高档消费品5分；拥有一部价格超过3000元的手机，或除学习必要外购买了高档电子消费品、奢侈化妆品或服装饰品等的，最多得1分。</w:t>
            </w:r>
          </w:p>
          <w:p w:rsidR="00281851" w:rsidRDefault="00281851">
            <w:pPr>
              <w:snapToGrid w:val="0"/>
              <w:spacing w:line="3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3、不经常出入网吧进行娱乐活动，不经常外出旅游、不经常请客吃饭、不经常出入KTV等娱乐场所的得10分，做不到其中一项的最多得5分，做不到其中两项或以上的得0分。（此项最低可以打0分）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281851" w:rsidTr="00281851">
        <w:trPr>
          <w:trHeight w:val="2224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学习</w:t>
            </w:r>
          </w:p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情况</w:t>
            </w:r>
          </w:p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15%</w:t>
            </w:r>
          </w:p>
        </w:tc>
        <w:tc>
          <w:tcPr>
            <w:tcW w:w="7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851" w:rsidRDefault="00281851">
            <w:pPr>
              <w:snapToGrid w:val="0"/>
              <w:spacing w:line="3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二（含大二）1、平时学习态度端正，学习勤奋，无旷课、迟到、早退等现象，必修课考试成绩无不及格，10分；平时学习态度端正，学习勤奋，极少有特殊原因上课迟到或请假，必修课考试成绩不及格在2门课（含2门课）以内，5分；必修课考试成绩不及格在3门课（含3门）以上的，最多1分。</w:t>
            </w:r>
          </w:p>
          <w:p w:rsidR="00281851" w:rsidRDefault="00281851">
            <w:pPr>
              <w:snapToGrid w:val="0"/>
              <w:spacing w:line="3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2、学习成绩在班级（或年级）排名前20%的，5分；学习成绩在班级（或年级）排名前50%的，3分；学习成绩在班级（或年级）排名前75%的，1分。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281851" w:rsidTr="00281851">
        <w:trPr>
          <w:trHeight w:val="185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851" w:rsidRDefault="00281851">
            <w:pPr>
              <w:snapToGrid w:val="0"/>
              <w:spacing w:line="3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新生：1、军训：积极参加军训，军训成绩优秀，5分；获“军训先进个人”的，10分。</w:t>
            </w:r>
          </w:p>
          <w:p w:rsidR="00281851" w:rsidRDefault="00281851">
            <w:pPr>
              <w:snapToGrid w:val="0"/>
              <w:spacing w:line="3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2、正式上课以来，学习态度端正，学习勤奋，无旷课、迟到、早退等现象，5分；平时学习态度端正，学习勤奋，极少有特殊原因上课迟到或请假的，3分。      （此项最低可以打0分。）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281851" w:rsidTr="00281851">
        <w:trPr>
          <w:trHeight w:val="259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思想</w:t>
            </w:r>
          </w:p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品德</w:t>
            </w:r>
          </w:p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15%</w:t>
            </w:r>
          </w:p>
        </w:tc>
        <w:tc>
          <w:tcPr>
            <w:tcW w:w="7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851" w:rsidRDefault="00281851">
            <w:pPr>
              <w:snapToGrid w:val="0"/>
              <w:spacing w:line="3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1、诚实守信（5分）：无能力缴纳学费的，积极办理生源地助学贷款，不拖欠学费5分；因家中经济困难未办理贷款，但能按规定时间及时办理缓缴手续，并按承诺时间缴清学费3分；有考试舞弊行为的0分；</w:t>
            </w:r>
          </w:p>
          <w:p w:rsidR="00281851" w:rsidRDefault="00281851">
            <w:pPr>
              <w:snapToGrid w:val="0"/>
              <w:spacing w:line="3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2、积极上进（5分）：思想追求上进，积极参加学校与班级活动，乐意为学校与班级奉献，乐于帮助他人。</w:t>
            </w:r>
          </w:p>
          <w:p w:rsidR="00281851" w:rsidRDefault="00281851">
            <w:pPr>
              <w:snapToGrid w:val="0"/>
              <w:spacing w:line="3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3、自觉遵守学院纪律和规章制度（5分）：严格遵守学院各项规章制度，特别做到了不抽烟喝酒、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不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违规使用大功率电器、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不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通宵上网、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不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无故夜不归宿等情况。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281851" w:rsidTr="00281851">
        <w:trPr>
          <w:trHeight w:val="863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加、减分情况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加分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减分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加减分综合得分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851" w:rsidRDefault="00281851"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281851" w:rsidTr="00281851">
        <w:trPr>
          <w:trHeight w:val="602"/>
        </w:trPr>
        <w:tc>
          <w:tcPr>
            <w:tcW w:w="10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t>学生本人或监护人知情签字：</w:t>
            </w:r>
          </w:p>
        </w:tc>
      </w:tr>
    </w:tbl>
    <w:p w:rsidR="008F0715" w:rsidRPr="00281851" w:rsidRDefault="008F0715"/>
    <w:sectPr w:rsidR="008F0715" w:rsidRPr="00281851" w:rsidSect="00281851">
      <w:pgSz w:w="11906" w:h="16838"/>
      <w:pgMar w:top="624" w:right="720" w:bottom="567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56"/>
    <w:rsid w:val="000A451D"/>
    <w:rsid w:val="00281851"/>
    <w:rsid w:val="00840487"/>
    <w:rsid w:val="008F0715"/>
    <w:rsid w:val="00D33E9E"/>
    <w:rsid w:val="00E46156"/>
    <w:rsid w:val="00E5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85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281851"/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85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281851"/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1061</Characters>
  <Application>Microsoft Office Word</Application>
  <DocSecurity>0</DocSecurity>
  <Lines>8</Lines>
  <Paragraphs>2</Paragraphs>
  <ScaleCrop>false</ScaleCrop>
  <Company>china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7</cp:revision>
  <cp:lastPrinted>2020-09-07T01:13:00Z</cp:lastPrinted>
  <dcterms:created xsi:type="dcterms:W3CDTF">2020-09-03T01:11:00Z</dcterms:created>
  <dcterms:modified xsi:type="dcterms:W3CDTF">2020-09-07T01:13:00Z</dcterms:modified>
</cp:coreProperties>
</file>